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63ee62a260e5496a"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27394</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OPĆINA KAMANJE</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22</w:t>
            </w:r>
          </w:p>
        </w:tc>
      </w:tr>
    </w:tbl>
    <w:p>
      <w:r>
        <w:br/>
      </w:r>
    </w:p>
    <w:p>
      <w:pPr>
        <w:jc w:val="center"/>
        <w:pStyle w:val="Normal"/>
        <w:spacing w:line="240" w:lineRule="auto"/>
      </w:pPr>
      <w:r>
        <w:rPr>
          <w:b/>
          <w:sz w:val="28"/>
          <w:rFonts w:ascii="Times New Roman" w:hAnsi="Times New Roman"/>
        </w:rPr>
        <w:t>BILJEŠKE UZ FINANCIJSKE IZVJEŠTAJE</w:t>
      </w:r>
    </w:p>
    <w:p>
      <w:pPr>
        <w:jc w:val="center"/>
        <w:pStyle w:val="Normal"/>
        <w:spacing w:line="240" w:lineRule="auto"/>
      </w:pPr>
      <w:r>
        <w:rPr>
          <w:b/>
          <w:sz w:val="28"/>
          <w:rFonts w:ascii="Times New Roman" w:hAnsi="Times New Roman"/>
        </w:rPr>
        <w:t>ZA RAZDOBLJE</w:t>
      </w:r>
    </w:p>
    <w:p>
      <w:pPr>
        <w:jc w:val="center"/>
        <w:pStyle w:val="Normal"/>
        <w:spacing w:line="240" w:lineRule="auto"/>
      </w:pPr>
      <w:r>
        <w:rPr>
          <w:b/>
          <w:sz w:val="28"/>
          <w:rFonts w:ascii="Times New Roman" w:hAnsi="Times New Roman"/>
        </w:rPr>
        <w:t>I - VI 2025.</w:t>
      </w:r>
    </w:p>
    <w:p/>
    <w:p>
      <w:pPr>
        <w:jc w:val="center"/>
        <w:pStyle w:val="Normal"/>
        <w:spacing w:line="240" w:lineRule="auto"/>
        <w:keepNext/>
      </w:pPr>
      <w:r>
        <w:rPr>
          <w:b/>
          <w:sz w:val="28"/>
          <w:rFonts w:ascii="Times New Roman" w:hAnsi="Times New Roman"/>
        </w:rPr>
        <w:t>Izvještaj o prihodima i rashodima, primicima i izdacima</w:t>
      </w:r>
    </w:p>
    <w:p>
      <w:pPr>
        <w:jc w:val="center"/>
        <w:pStyle w:val="Normal"/>
        <w:spacing w:line="240" w:lineRule="auto"/>
        <w:keepNext/>
      </w:pPr>
      <w:r>
        <w:rPr>
          <w:sz w:val="28"/>
          <w:rFonts w:ascii="Times New Roman" w:hAnsi="Times New Roman"/>
        </w:rPr>
        <w:t>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271.321,79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276.669,19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102,0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190.969,31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255.638,09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80.352,48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21.031,10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6.328,03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26.348,75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416,4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6.328,03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26.264,75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415,1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18.883,02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66.225,00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350,7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PRIMITAKA OD FINANCIJSKE IMOVINE I ZADUŽIVANJA (šifre 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33.775,00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I PRIMITAKA (šifre X678-Y345)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55.141,43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28.541,35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51,8</w:t>
            </w:r>
          </w:p>
        </w:tc>
      </w:tr>
    </w:tbl>
    <w:p>
      <w:pPr>
        <w:spacing w:before="0" w:after="0"/>
      </w:pPr>
    </w:p>
    <w:p>
      <w:pPr>
        <w:jc w:val="both"/>
        <w:pStyle w:val="Normal"/>
        <w:spacing w:line="240" w:lineRule="auto"/>
      </w:pPr>
      <w:r>
        <w:rPr>
          <w:sz w:val="24"/>
          <w:rFonts w:ascii="Times New Roman" w:hAnsi="Times New Roman"/>
        </w:rPr>
        <w:t>U razdoblju od 1. siječnja do 30. lipnja 2024. godine Općina je ostvarila ukupne prihode poslovanja u iznosu od 271.321,79 EUR, što je manje za 5.347,40 EUR u odnosu na isto razdoblje 2025. godine, kada su prihodi poslovanja iznosili 276.669,19 EUR.
Ukupni rashodi poslovanja u prvom polugodištu 2024. godine iznosili su 190.969,31 EUR, što je manje za 64.668,78 EUR u odnosu na rashode u 2025. godini, koji su iznosili 255.638,09 EUR.
Na temelju navedenog, u 2024. godini ostvaren je višak prihoda poslovanja u iznosu od 80.352,48 EUR, što je za 59.321,38 EUR više u odnosu na višak ostvaren u istom razdoblju 2025. godine, kada je višak prihoda poslovanja iznosio 21.031,10 EUR.
U 2024. godini prihodi od prodaje nefinancijske imovine nisu ostvareni (0,00 EUR), dok su rashodi za nabavu nefinancijske imovine iznosili 6.328,03 EUR, što je rezultiralo manjkom od 6.328,03 EUR. U 2025. godini ostvaren je manjak od 26.264,75 EUR, što je nepovoljnije za 19.936,72 EUR u odnosu na 2024. godinu.
U dijelu financijske imovine i zaduživanja, u 2024. godini nisu ostvareni primici (0,00 EUR), dok su izdaci iznosili 18.883,02 EUR, što je rezultiralo manjkom od 18.883,02 EUR. U 2025. godini ostvaren je višak od financijske imovine u iznosu od 33.775,00 EUR, što je poboljšanje za 52.658,02 EUR u odnosu na 2024. godinu.
Sveukupno, u 2024. godini ostvaren je višak prihoda i primitaka u iznosu od 55.141,43 EUR, što je za 26.600,08 EUR više u odnosu na višak iz 2025. godine koji je iznosio 28.541,35 EUR.</w:t>
      </w:r>
    </w:p>
    <w:p>
      <w:r>
        <w:br/>
      </w:r>
    </w:p>
    <w:p>
      <w:pPr>
        <w:jc w:val="center"/>
        <w:pStyle w:val="Normal"/>
        <w:spacing w:line="240" w:lineRule="auto"/>
        <w:keepNext/>
      </w:pPr>
      <w:r>
        <w:rPr>
          <w:sz w:val="28"/>
          <w:rFonts w:ascii="Times New Roman" w:hAnsi="Times New Roman"/>
        </w:rPr>
        <w:t>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Povremeni porezi na imovinu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3.311,94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1.175,31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w:t>
            </w:r>
          </w:p>
        </w:tc>
      </w:tr>
    </w:tbl>
    <w:p>
      <w:pPr>
        <w:spacing w:before="0" w:after="0"/>
      </w:pPr>
    </w:p>
    <w:p>
      <w:pPr>
        <w:jc w:val="both"/>
        <w:pStyle w:val="Normal"/>
        <w:spacing w:line="240" w:lineRule="auto"/>
      </w:pPr>
      <w:r>
        <w:rPr>
          <w:sz w:val="24"/>
          <w:rFonts w:ascii="Times New Roman" w:hAnsi="Times New Roman"/>
        </w:rPr>
        <w:t>Razlog smanjenja prihoda od poreza na promet nekretnina u odnosu na prethodnu godinu prvenstveno se može pripisati smanjenju broja realiziranih kupoprodajnih transakcija na području Općine u prvoj polovici ove godine.</w:t>
      </w:r>
    </w:p>
    <w:p/>
    <w:p>
      <w:pPr>
        <w:jc w:val="center"/>
        <w:pStyle w:val="Normal"/>
        <w:spacing w:line="240" w:lineRule="auto"/>
        <w:keepNext/>
      </w:pPr>
      <w:r>
        <w:rPr>
          <w:sz w:val="28"/>
          <w:rFonts w:ascii="Times New Roman" w:hAnsi="Times New Roman"/>
        </w:rPr>
        <w:t>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fiskalnog izravnanja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55.062,18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71.732,34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130,3</w:t>
            </w:r>
          </w:p>
        </w:tc>
      </w:tr>
    </w:tbl>
    <w:p>
      <w:pPr>
        <w:spacing w:before="0" w:after="0"/>
      </w:pPr>
    </w:p>
    <w:p>
      <w:pPr>
        <w:jc w:val="both"/>
        <w:pStyle w:val="Normal"/>
        <w:spacing w:line="240" w:lineRule="auto"/>
      </w:pPr>
      <w:r>
        <w:rPr>
          <w:sz w:val="24"/>
          <w:rFonts w:ascii="Times New Roman" w:hAnsi="Times New Roman"/>
        </w:rPr>
        <w:t>Povećanje prihoda po osnovi Pomoći izravnanja za decentralizirane funkcije i fiskalnog izravnanja u odnosu na prethodnu godinu za 30,3 % rezultat je usklađivanja iznosa sredstava temeljem važeće uredbe o fiskalnom izravnanju kao i povećanja broja djece u dječjem vrtiću, a na osnovu toga i povećanje sredstava za fiskalnu održivost dječjeg vrtića.</w:t>
      </w:r>
    </w:p>
    <w:p/>
    <w:p>
      <w:pPr>
        <w:jc w:val="center"/>
        <w:pStyle w:val="Normal"/>
        <w:spacing w:line="240" w:lineRule="auto"/>
        <w:keepNext/>
      </w:pPr>
      <w:r>
        <w:rPr>
          <w:sz w:val="28"/>
          <w:rFonts w:ascii="Times New Roman" w:hAnsi="Times New Roman"/>
        </w:rPr>
        <w:t>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zakupa i iznajmljivanja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1.731,50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35,2</w:t>
            </w:r>
          </w:p>
        </w:tc>
      </w:tr>
    </w:tbl>
    <w:p>
      <w:pPr>
        <w:spacing w:before="0" w:after="0"/>
      </w:pPr>
    </w:p>
    <w:p>
      <w:pPr>
        <w:jc w:val="both"/>
        <w:pStyle w:val="Normal"/>
        <w:spacing w:line="240" w:lineRule="auto"/>
      </w:pPr>
      <w:r>
        <w:rPr>
          <w:sz w:val="24"/>
          <w:rFonts w:ascii="Times New Roman" w:hAnsi="Times New Roman"/>
        </w:rPr>
        <w:t>Općina je u prvoj polovici ove godine, a u odnosu na isto razdoblje prethodne godine naplatila 65% manje prihoda od najma poslovnih prostora  iz razloga neizvršavanja redovitih obveza zakupoprimaca.</w:t>
      </w:r>
    </w:p>
    <w:p/>
    <w:p>
      <w:pPr>
        <w:jc w:val="center"/>
        <w:pStyle w:val="Normal"/>
        <w:spacing w:line="240" w:lineRule="auto"/>
        <w:keepNext/>
      </w:pPr>
      <w:r>
        <w:rPr>
          <w:sz w:val="28"/>
          <w:rFonts w:ascii="Times New Roman" w:hAnsi="Times New Roman"/>
        </w:rPr>
        <w:t>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Naknada za korištenje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265,45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pPr>
        <w:jc w:val="both"/>
        <w:pStyle w:val="Normal"/>
        <w:spacing w:line="240" w:lineRule="auto"/>
      </w:pPr>
      <w:r>
        <w:rPr>
          <w:sz w:val="24"/>
          <w:rFonts w:ascii="Times New Roman" w:hAnsi="Times New Roman"/>
        </w:rPr>
        <w:t>U prvoj polovici prethodne godine ostvareni su prihodi od naknade za korištenje mrtvačnice na mjesnom groblju dok u istom razdoblju ove godine ti prihodi nisu ostvarivani.</w:t>
      </w:r>
    </w:p>
    <w:p/>
    <w:p>
      <w:pPr>
        <w:jc w:val="center"/>
        <w:pStyle w:val="Normal"/>
        <w:spacing w:line="240" w:lineRule="auto"/>
        <w:keepNext/>
      </w:pPr>
      <w:r>
        <w:rPr>
          <w:sz w:val="28"/>
          <w:rFonts w:ascii="Times New Roman" w:hAnsi="Times New Roman"/>
        </w:rPr>
        <w:t>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ceste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79,63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Style w:val="Normal"/>
        <w:spacing w:line="240" w:lineRule="auto"/>
      </w:pPr>
      <w:r>
        <w:rPr>
          <w:sz w:val="24"/>
          <w:rFonts w:ascii="Times New Roman" w:hAnsi="Times New Roman"/>
        </w:rPr>
        <w:t>Naknada za ceste plaća se za prekomjerno korištenje prometnice, a u prvoj polovici ove godine ostvarena je u iznosu od 79,63 eura dok prethodne godine u istom razdoblju prihod nije ostvarivan.</w:t>
      </w:r>
    </w:p>
    <w:p/>
    <w:p>
      <w:pPr>
        <w:jc w:val="center"/>
        <w:pStyle w:val="Normal"/>
        <w:spacing w:line="240" w:lineRule="auto"/>
        <w:keepNext/>
      </w:pPr>
      <w:r>
        <w:rPr>
          <w:sz w:val="28"/>
          <w:rFonts w:ascii="Times New Roman" w:hAnsi="Times New Roman"/>
        </w:rPr>
        <w:t>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7.620,06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4.305,44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56,5</w:t>
            </w:r>
          </w:p>
        </w:tc>
      </w:tr>
    </w:tbl>
    <w:p>
      <w:pPr>
        <w:spacing w:before="0" w:after="0"/>
      </w:pPr>
    </w:p>
    <w:p>
      <w:pPr>
        <w:jc w:val="both"/>
        <w:pStyle w:val="Normal"/>
        <w:spacing w:line="240" w:lineRule="auto"/>
      </w:pPr>
      <w:r>
        <w:rPr>
          <w:sz w:val="24"/>
          <w:rFonts w:ascii="Times New Roman" w:hAnsi="Times New Roman"/>
        </w:rPr>
        <w:t>Razlika u ostvarenju prihoda od Ostalih nespomenutih prihoda u prvoj polovici ove godine u odnosu na isto razdoblje prethodne godine odnosi se na naknadu štete koju je prethodne godine prouzročila fizička na nerazvrstanoj prometnici stoga je i ostvaren prihod za 43,5% veći prethodne godine.</w:t>
      </w:r>
    </w:p>
    <w:p/>
    <w:p>
      <w:pPr>
        <w:jc w:val="center"/>
        <w:pStyle w:val="Normal"/>
        <w:spacing w:line="240" w:lineRule="auto"/>
        <w:keepNext/>
      </w:pPr>
      <w:r>
        <w:rPr>
          <w:sz w:val="28"/>
          <w:rFonts w:ascii="Times New Roman" w:hAnsi="Times New Roman"/>
        </w:rPr>
        <w:t>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pruženih usluga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5.020,40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9,6</w:t>
            </w:r>
          </w:p>
        </w:tc>
      </w:tr>
    </w:tbl>
    <w:p>
      <w:pPr>
        <w:spacing w:before="0" w:after="0"/>
      </w:pPr>
    </w:p>
    <w:p>
      <w:pPr>
        <w:jc w:val="both"/>
        <w:pStyle w:val="Normal"/>
        <w:spacing w:line="240" w:lineRule="auto"/>
      </w:pPr>
      <w:r>
        <w:rPr>
          <w:sz w:val="24"/>
          <w:rFonts w:ascii="Times New Roman" w:hAnsi="Times New Roman"/>
        </w:rPr>
        <w:t>Prethodne godine Javna ustanova Natura viva angažirala je Vlastiti pogon Općine Kamanje za sanaciju oštećenja na geomorfološkom području spilje Vrlovke za što je Javnoj ustanovi ispostavljen račun te je ostvaren prihod dok u ovoj godini takvih prihoda nije bilo.</w:t>
      </w:r>
    </w:p>
    <w:p/>
    <w:p>
      <w:pPr>
        <w:jc w:val="center"/>
        <w:pStyle w:val="Normal"/>
        <w:spacing w:line="240" w:lineRule="auto"/>
        <w:keepNext/>
      </w:pPr>
      <w:r>
        <w:rPr>
          <w:sz w:val="28"/>
          <w:rFonts w:ascii="Times New Roman" w:hAnsi="Times New Roman"/>
        </w:rPr>
        <w:t>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prijevoz, za rad na terenu i odvojeni život</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1.422,30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1.009,30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71,0</w:t>
            </w:r>
          </w:p>
        </w:tc>
      </w:tr>
    </w:tbl>
    <w:p>
      <w:pPr>
        <w:spacing w:before="0" w:after="0"/>
      </w:pPr>
    </w:p>
    <w:p>
      <w:pPr>
        <w:jc w:val="both"/>
        <w:pStyle w:val="Normal"/>
        <w:spacing w:line="240" w:lineRule="auto"/>
      </w:pPr>
      <w:r>
        <w:rPr>
          <w:sz w:val="24"/>
          <w:rFonts w:ascii="Times New Roman" w:hAnsi="Times New Roman"/>
        </w:rPr>
        <w:t>Naknada za prijevoz sa posla i na posao ostvarena je u manjem rashodu ove godine u odnosu na isto razdoblje prošle godine radi dugotrajnog bolovanja djelatnice. </w:t>
      </w:r>
    </w:p>
    <w:p/>
    <w:p>
      <w:pPr>
        <w:jc w:val="center"/>
        <w:pStyle w:val="Normal"/>
        <w:spacing w:line="240" w:lineRule="auto"/>
        <w:keepNext/>
      </w:pPr>
      <w:r>
        <w:rPr>
          <w:sz w:val="28"/>
          <w:rFonts w:ascii="Times New Roman" w:hAnsi="Times New Roman"/>
        </w:rPr>
        <w:t>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Ostale naknade troškova zaposlenima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1.426,40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2.029,00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142,2</w:t>
            </w:r>
          </w:p>
        </w:tc>
      </w:tr>
    </w:tbl>
    <w:p>
      <w:pPr>
        <w:spacing w:before="0" w:after="0"/>
      </w:pPr>
    </w:p>
    <w:p>
      <w:pPr>
        <w:jc w:val="both"/>
        <w:pStyle w:val="Normal"/>
        <w:spacing w:line="240" w:lineRule="auto"/>
      </w:pPr>
      <w:r>
        <w:rPr>
          <w:sz w:val="24"/>
          <w:rFonts w:ascii="Times New Roman" w:hAnsi="Times New Roman"/>
        </w:rPr>
        <w:t>U prvoj polovici ove godine ostvareni su viši rashodi za naknadu za korištenje privatnog automobila u službene svrhe u odnosu na prethodnu godinu radi povećanja obaveza načelnika.</w:t>
      </w:r>
    </w:p>
    <w:p/>
    <w:p>
      <w:pPr>
        <w:jc w:val="center"/>
        <w:pStyle w:val="Normal"/>
        <w:spacing w:line="240" w:lineRule="auto"/>
        <w:keepNext/>
      </w:pPr>
      <w:r>
        <w:rPr>
          <w:sz w:val="28"/>
          <w:rFonts w:ascii="Times New Roman" w:hAnsi="Times New Roman"/>
        </w:rPr>
        <w:t>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Uredski materijal i ostali materijalni rashodi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251,75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533,37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211,9</w:t>
            </w:r>
          </w:p>
        </w:tc>
      </w:tr>
    </w:tbl>
    <w:p>
      <w:pPr>
        <w:spacing w:before="0" w:after="0"/>
      </w:pPr>
    </w:p>
    <w:p>
      <w:pPr>
        <w:jc w:val="both"/>
        <w:pStyle w:val="Normal"/>
        <w:spacing w:line="240" w:lineRule="auto"/>
      </w:pPr>
      <w:r>
        <w:rPr>
          <w:sz w:val="24"/>
          <w:rFonts w:ascii="Times New Roman" w:hAnsi="Times New Roman"/>
        </w:rPr>
        <w:t>Povećanje rashoda za uredski materijal u prvoj polovici ove godine u odnosu na prethodnu godinu odnosi se na nabavu materijala za održavanje lokalnih izbora za što nije bilo troška u prethodnoj godini.</w:t>
      </w:r>
    </w:p>
    <w:p/>
    <w:p>
      <w:pPr>
        <w:jc w:val="center"/>
        <w:pStyle w:val="Normal"/>
        <w:spacing w:line="240" w:lineRule="auto"/>
        <w:keepNext/>
      </w:pPr>
      <w:r>
        <w:rPr>
          <w:sz w:val="28"/>
          <w:rFonts w:ascii="Times New Roman" w:hAnsi="Times New Roman"/>
        </w:rPr>
        <w:t>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Sitni inventar i autogume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1.461,25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1.089,47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74,6</w:t>
            </w:r>
          </w:p>
        </w:tc>
      </w:tr>
    </w:tbl>
    <w:p>
      <w:pPr>
        <w:spacing w:before="0" w:after="0"/>
      </w:pPr>
    </w:p>
    <w:p>
      <w:pPr>
        <w:jc w:val="both"/>
        <w:pStyle w:val="Normal"/>
        <w:spacing w:line="240" w:lineRule="auto"/>
      </w:pPr>
      <w:r>
        <w:rPr>
          <w:sz w:val="24"/>
          <w:rFonts w:ascii="Times New Roman" w:hAnsi="Times New Roman"/>
        </w:rPr>
        <w:t>U prvoj polovici prethodne godine nabavljano je više sitnog inventara za potrebe Vlastitog pogona (akumulatori, motorna pila, pumpa za vodu), a isto nije bilo potrebno nabavljati u ovoj godini stoga su i rashodi prethodne godine bili viši.</w:t>
      </w:r>
    </w:p>
    <w:p/>
    <w:p>
      <w:pPr>
        <w:jc w:val="center"/>
        <w:pStyle w:val="Normal"/>
        <w:spacing w:line="240" w:lineRule="auto"/>
        <w:keepNext/>
      </w:pPr>
      <w:r>
        <w:rPr>
          <w:sz w:val="28"/>
          <w:rFonts w:ascii="Times New Roman" w:hAnsi="Times New Roman"/>
        </w:rPr>
        <w:t>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telefona, interneta, pošte i prijevoza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2.195,02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1.700,56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77,5</w:t>
            </w:r>
          </w:p>
        </w:tc>
      </w:tr>
    </w:tbl>
    <w:p>
      <w:pPr>
        <w:spacing w:before="0" w:after="0"/>
      </w:pPr>
    </w:p>
    <w:p>
      <w:pPr>
        <w:jc w:val="both"/>
        <w:pStyle w:val="Normal"/>
        <w:spacing w:line="240" w:lineRule="auto"/>
      </w:pPr>
      <w:r>
        <w:rPr>
          <w:sz w:val="24"/>
          <w:rFonts w:ascii="Times New Roman" w:hAnsi="Times New Roman"/>
        </w:rPr>
        <w:t>Općina Kamanje je u prvoj polovici ove godine smanjila troškove prvenstveno poštanskih usluga u odnosu na prethodnu godinu što je rezultiralo i nižim rashodima.</w:t>
      </w:r>
    </w:p>
    <w:p/>
    <w:p>
      <w:pPr>
        <w:jc w:val="center"/>
        <w:pStyle w:val="Normal"/>
        <w:spacing w:line="240" w:lineRule="auto"/>
        <w:keepNext/>
      </w:pPr>
      <w:r>
        <w:rPr>
          <w:sz w:val="28"/>
          <w:rFonts w:ascii="Times New Roman" w:hAnsi="Times New Roman"/>
        </w:rPr>
        <w:t>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tekućeg i investicijskog održavanja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6.277,23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14.298,35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227,8</w:t>
            </w:r>
          </w:p>
        </w:tc>
      </w:tr>
    </w:tbl>
    <w:p>
      <w:pPr>
        <w:spacing w:before="0" w:after="0"/>
      </w:pPr>
    </w:p>
    <w:p>
      <w:pPr>
        <w:jc w:val="both"/>
        <w:pStyle w:val="Normal"/>
        <w:spacing w:line="240" w:lineRule="auto"/>
      </w:pPr>
      <w:r>
        <w:rPr>
          <w:sz w:val="24"/>
          <w:rFonts w:ascii="Times New Roman" w:hAnsi="Times New Roman"/>
        </w:rPr>
        <w:t>Značajno povećanje rashoda za usluge tekućeg i investicijskog održavanja prvenstveno se odnosi na održavanje javne rasvjete s obzirom da je prošao vijek trajanja postojećih LED svjetiljki te je potreba za zamjenom i popravkom istih. </w:t>
      </w:r>
    </w:p>
    <w:p/>
    <w:p>
      <w:pPr>
        <w:jc w:val="center"/>
        <w:pStyle w:val="Normal"/>
        <w:spacing w:line="240" w:lineRule="auto"/>
        <w:keepNext/>
      </w:pPr>
      <w:r>
        <w:rPr>
          <w:sz w:val="28"/>
          <w:rFonts w:ascii="Times New Roman" w:hAnsi="Times New Roman"/>
        </w:rPr>
        <w:t>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promidžbe i informiranja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369,91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1.456,22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393,7</w:t>
            </w:r>
          </w:p>
        </w:tc>
      </w:tr>
    </w:tbl>
    <w:p>
      <w:pPr>
        <w:spacing w:before="0" w:after="0"/>
      </w:pPr>
    </w:p>
    <w:p>
      <w:pPr>
        <w:jc w:val="both"/>
        <w:pStyle w:val="Normal"/>
        <w:spacing w:line="240" w:lineRule="auto"/>
      </w:pPr>
      <w:r>
        <w:rPr>
          <w:sz w:val="24"/>
          <w:rFonts w:ascii="Times New Roman" w:hAnsi="Times New Roman"/>
        </w:rPr>
        <w:t>Općina Kamanje u prvoj polovici ove godine raspisivala je natječaj za zapošljavanje djelatnika te se značajno povećanje ove stavke odnosi na objavu natječaja u Narodnim novinama dok prethodne godine u istom razdoblju nije bilo takvih oglašavanja.</w:t>
      </w:r>
    </w:p>
    <w:p/>
    <w:p>
      <w:pPr>
        <w:jc w:val="center"/>
        <w:pStyle w:val="Normal"/>
        <w:spacing w:line="240" w:lineRule="auto"/>
        <w:keepNext/>
      </w:pPr>
      <w:r>
        <w:rPr>
          <w:sz w:val="28"/>
          <w:rFonts w:ascii="Times New Roman" w:hAnsi="Times New Roman"/>
        </w:rPr>
        <w:t>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Intelektualne i osobne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13.342,88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26.424,21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198,0</w:t>
            </w:r>
          </w:p>
        </w:tc>
      </w:tr>
    </w:tbl>
    <w:p>
      <w:pPr>
        <w:spacing w:before="0" w:after="0"/>
      </w:pPr>
    </w:p>
    <w:p>
      <w:pPr>
        <w:jc w:val="both"/>
        <w:pStyle w:val="Normal"/>
        <w:spacing w:line="240" w:lineRule="auto"/>
      </w:pPr>
      <w:r>
        <w:rPr>
          <w:sz w:val="24"/>
          <w:rFonts w:ascii="Times New Roman" w:hAnsi="Times New Roman"/>
        </w:rPr>
        <w:t>Značajno povećanje rashoda za intelektualne i osobne usluge u prvoj polovici ove godine u odnosu na isto razdoblje prethodne godine odnosi se na izradu potrebne dokumentacije za projekat "Rekonstrukcija državne ceste DC228 i gradnja nogostupa". </w:t>
      </w:r>
    </w:p>
    <w:p/>
    <w:p>
      <w:pPr>
        <w:jc w:val="center"/>
        <w:pStyle w:val="Normal"/>
        <w:spacing w:line="240" w:lineRule="auto"/>
        <w:keepNext/>
      </w:pPr>
      <w:r>
        <w:rPr>
          <w:sz w:val="28"/>
          <w:rFonts w:ascii="Times New Roman" w:hAnsi="Times New Roman"/>
        </w:rPr>
        <w:t>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rad predstavničkih i izvršnih tijela, povjerenstava i slično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609,72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7.372,37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1209,1</w:t>
            </w:r>
          </w:p>
        </w:tc>
      </w:tr>
    </w:tbl>
    <w:p>
      <w:pPr>
        <w:spacing w:before="0" w:after="0"/>
      </w:pPr>
    </w:p>
    <w:p>
      <w:pPr>
        <w:jc w:val="both"/>
        <w:pStyle w:val="Normal"/>
        <w:spacing w:line="240" w:lineRule="auto"/>
      </w:pPr>
      <w:r>
        <w:rPr>
          <w:sz w:val="24"/>
          <w:rFonts w:ascii="Times New Roman" w:hAnsi="Times New Roman"/>
        </w:rPr>
        <w:t>Značajno povećanje rashoda za naknade za rad predstavničkih i izvršnih tijela, povjerenstava i slično u odnosu na isto razdoblje prethodne godine odnosi se na naknade za izborno povjerenstvo za provedbu lokalnih izbora.  održanih u svibnju ove godine.</w:t>
      </w:r>
    </w:p>
    <w:p/>
    <w:p>
      <w:pPr>
        <w:jc w:val="center"/>
        <w:pStyle w:val="Normal"/>
        <w:spacing w:line="240" w:lineRule="auto"/>
        <w:keepNext/>
      </w:pPr>
      <w:r>
        <w:rPr>
          <w:sz w:val="28"/>
          <w:rFonts w:ascii="Times New Roman" w:hAnsi="Times New Roman"/>
        </w:rPr>
        <w:t>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rashodi poslovanja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381,29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276,3</w:t>
            </w:r>
          </w:p>
        </w:tc>
      </w:tr>
    </w:tbl>
    <w:p>
      <w:pPr>
        <w:spacing w:before="0" w:after="0"/>
      </w:pPr>
    </w:p>
    <w:p>
      <w:pPr>
        <w:jc w:val="both"/>
        <w:pStyle w:val="Normal"/>
        <w:spacing w:line="240" w:lineRule="auto"/>
      </w:pPr>
      <w:r>
        <w:rPr>
          <w:sz w:val="24"/>
          <w:rFonts w:ascii="Times New Roman" w:hAnsi="Times New Roman"/>
        </w:rPr>
        <w:t>Povećanje rashoda u ovom izvještajnom razdoblju u odnosu na prethodnu godinu odnosi se na rashode protokola prilikom smrti djelatnice.</w:t>
      </w:r>
    </w:p>
    <w:p/>
    <w:p>
      <w:pPr>
        <w:jc w:val="center"/>
        <w:pStyle w:val="Normal"/>
        <w:spacing w:line="240" w:lineRule="auto"/>
        <w:keepNext/>
      </w:pPr>
      <w:r>
        <w:rPr>
          <w:sz w:val="28"/>
          <w:rFonts w:ascii="Times New Roman" w:hAnsi="Times New Roman"/>
        </w:rPr>
        <w:t>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Kamate za primljene kredite i zajmove od kreditnih i ostalih financijskih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4.664,58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1.851,64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39,7</w:t>
            </w:r>
          </w:p>
        </w:tc>
      </w:tr>
    </w:tbl>
    <w:p>
      <w:pPr>
        <w:spacing w:before="0" w:after="0"/>
      </w:pPr>
    </w:p>
    <w:p>
      <w:pPr>
        <w:jc w:val="both"/>
        <w:pStyle w:val="Normal"/>
        <w:spacing w:line="240" w:lineRule="auto"/>
      </w:pPr>
      <w:r>
        <w:rPr>
          <w:sz w:val="24"/>
          <w:rFonts w:ascii="Times New Roman" w:hAnsi="Times New Roman"/>
        </w:rPr>
        <w:t>Otplatom glavnice kratkoročnog zaduženja smanjuje se i kamata na kredit stoga su rashodi za kamate u ovoj godini znatno niži nego prethodne godine.</w:t>
      </w:r>
    </w:p>
    <w:p/>
    <w:p>
      <w:pPr>
        <w:jc w:val="center"/>
        <w:pStyle w:val="Normal"/>
        <w:spacing w:line="240" w:lineRule="auto"/>
        <w:keepNext/>
      </w:pPr>
      <w:r>
        <w:rPr>
          <w:sz w:val="28"/>
          <w:rFonts w:ascii="Times New Roman" w:hAnsi="Times New Roman"/>
        </w:rPr>
        <w:t>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Bankarske usluge i usluge platnog prometa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565,80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1.360,25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240,4</w:t>
            </w:r>
          </w:p>
        </w:tc>
      </w:tr>
    </w:tbl>
    <w:p>
      <w:pPr>
        <w:spacing w:before="0" w:after="0"/>
      </w:pPr>
    </w:p>
    <w:p>
      <w:pPr>
        <w:jc w:val="both"/>
        <w:pStyle w:val="Normal"/>
        <w:spacing w:line="240" w:lineRule="auto"/>
      </w:pPr>
      <w:r>
        <w:rPr>
          <w:sz w:val="24"/>
          <w:rFonts w:ascii="Times New Roman" w:hAnsi="Times New Roman"/>
        </w:rPr>
        <w:t>Povećanje rashoda za bankarske usluge u ovom izvještajnom razdoblju odnosi se na naknade banci za odobrenje prekoračenja po žiro računu.</w:t>
      </w:r>
    </w:p>
    <w:p/>
    <w:p>
      <w:pPr>
        <w:jc w:val="center"/>
        <w:pStyle w:val="Normal"/>
        <w:spacing w:line="240" w:lineRule="auto"/>
        <w:keepNext/>
      </w:pPr>
      <w:r>
        <w:rPr>
          <w:sz w:val="28"/>
          <w:rFonts w:ascii="Times New Roman" w:hAnsi="Times New Roman"/>
        </w:rPr>
        <w:t>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drugom proračunu i izvanproračunskim korisnicima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1.699,35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3.132,08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184,3</w:t>
            </w:r>
          </w:p>
        </w:tc>
      </w:tr>
    </w:tbl>
    <w:p>
      <w:pPr>
        <w:spacing w:before="0" w:after="0"/>
      </w:pPr>
    </w:p>
    <w:p>
      <w:pPr>
        <w:jc w:val="both"/>
        <w:pStyle w:val="Normal"/>
        <w:spacing w:line="240" w:lineRule="auto"/>
      </w:pPr>
      <w:r>
        <w:rPr>
          <w:sz w:val="24"/>
          <w:rFonts w:ascii="Times New Roman" w:hAnsi="Times New Roman"/>
        </w:rPr>
        <w:t>Povećanje rashoda za tekuće pomoći drugom proračunu i izvanproračunskim korisnicima odnosi se na sufinanciranje troškova lokalnih izbora Karlovačkoj županiji.</w:t>
      </w:r>
    </w:p>
    <w:p/>
    <w:p>
      <w:pPr>
        <w:jc w:val="center"/>
        <w:pStyle w:val="Normal"/>
        <w:spacing w:line="240" w:lineRule="auto"/>
        <w:keepNext/>
      </w:pPr>
      <w:r>
        <w:rPr>
          <w:sz w:val="28"/>
          <w:rFonts w:ascii="Times New Roman" w:hAnsi="Times New Roman"/>
        </w:rPr>
        <w:t>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proračunskim korisnicima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8.346,74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10.379,39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124,4</w:t>
            </w:r>
          </w:p>
        </w:tc>
      </w:tr>
    </w:tbl>
    <w:p>
      <w:pPr>
        <w:spacing w:before="0" w:after="0"/>
      </w:pPr>
    </w:p>
    <w:p>
      <w:pPr>
        <w:jc w:val="both"/>
        <w:pStyle w:val="Normal"/>
        <w:spacing w:line="240" w:lineRule="auto"/>
      </w:pPr>
      <w:r>
        <w:rPr>
          <w:sz w:val="24"/>
          <w:rFonts w:ascii="Times New Roman" w:hAnsi="Times New Roman"/>
        </w:rPr>
        <w:t>Povećanje rashoda za tekuće pomoći proračunskim korisnicima drugih proračuna odnosi se na povećanje plaće učiteljici u produženom boravku u Osnovnoj školi Kamanje, a za čiju plaću su sredstva bila osigurana u proračunu Općine Kamanje te su isplaćivana školi.</w:t>
      </w:r>
    </w:p>
    <w:p/>
    <w:p>
      <w:pPr>
        <w:jc w:val="center"/>
        <w:pStyle w:val="Normal"/>
        <w:spacing w:line="240" w:lineRule="auto"/>
        <w:keepNext/>
      </w:pPr>
      <w:r>
        <w:rPr>
          <w:sz w:val="28"/>
          <w:rFonts w:ascii="Times New Roman" w:hAnsi="Times New Roman"/>
        </w:rPr>
        <w:t>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donacije u novcu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8.459,30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26.539,41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313,7</w:t>
            </w:r>
          </w:p>
        </w:tc>
      </w:tr>
    </w:tbl>
    <w:p>
      <w:pPr>
        <w:spacing w:before="0" w:after="0"/>
      </w:pPr>
    </w:p>
    <w:p>
      <w:pPr>
        <w:jc w:val="both"/>
        <w:pStyle w:val="Normal"/>
        <w:spacing w:line="240" w:lineRule="auto"/>
      </w:pPr>
      <w:r>
        <w:rPr>
          <w:sz w:val="24"/>
          <w:rFonts w:ascii="Times New Roman" w:hAnsi="Times New Roman"/>
        </w:rPr>
        <w:t>Značajno povećanje rashoda za tekuće donacije odnosi se na promjene u proračunskom računovodstvu, odnosno tijekom ove godine Općina je zaduživala vrijednost dodijeljenog ugovora danom potpisa ugovora dok je prethodne godine zaduženje bilo u trenutku isplate sredstava udrugama.</w:t>
      </w:r>
    </w:p>
    <w:p/>
    <w:p>
      <w:pPr>
        <w:jc w:val="center"/>
        <w:pStyle w:val="Normal"/>
        <w:spacing w:line="240" w:lineRule="auto"/>
        <w:keepNext/>
      </w:pPr>
      <w:r>
        <w:rPr>
          <w:sz w:val="28"/>
          <w:rFonts w:ascii="Times New Roman" w:hAnsi="Times New Roman"/>
        </w:rPr>
        <w:t>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građevinski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19.673,75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Style w:val="Normal"/>
        <w:spacing w:line="240" w:lineRule="auto"/>
      </w:pPr>
      <w:r>
        <w:rPr>
          <w:sz w:val="24"/>
          <w:rFonts w:ascii="Times New Roman" w:hAnsi="Times New Roman"/>
        </w:rPr>
        <w:t>Općina Kamanje je krajem 2024. godine provela projekat nadogradnje dijela javne rasvjete za što je račun ispostavljen i plaćen u ovoj godini.</w:t>
      </w:r>
    </w:p>
    <w:p/>
    <w:p>
      <w:pPr>
        <w:jc w:val="center"/>
        <w:pStyle w:val="Normal"/>
        <w:spacing w:line="240" w:lineRule="auto"/>
        <w:keepNext/>
      </w:pPr>
      <w:r>
        <w:rPr>
          <w:sz w:val="28"/>
          <w:rFonts w:ascii="Times New Roman" w:hAnsi="Times New Roman"/>
        </w:rPr>
        <w:t>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Uredska oprema i namještaj</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1.675,00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1691,9</w:t>
            </w:r>
          </w:p>
        </w:tc>
      </w:tr>
    </w:tbl>
    <w:p>
      <w:pPr>
        <w:spacing w:before="0" w:after="0"/>
      </w:pPr>
    </w:p>
    <w:p>
      <w:pPr>
        <w:jc w:val="both"/>
        <w:pStyle w:val="Normal"/>
        <w:spacing w:line="240" w:lineRule="auto"/>
      </w:pPr>
      <w:r>
        <w:rPr>
          <w:sz w:val="24"/>
          <w:rFonts w:ascii="Times New Roman" w:hAnsi="Times New Roman"/>
        </w:rPr>
        <w:t>Povećanje rashoda za uredsku opremu i namještaj odnosi se na nabavu računalna u prvoj polovici ove godine dok takvog troška nije bilo prethodne godine.</w:t>
      </w:r>
    </w:p>
    <w:p/>
    <w:p>
      <w:pPr>
        <w:jc w:val="center"/>
        <w:pStyle w:val="Normal"/>
        <w:spacing w:line="240" w:lineRule="auto"/>
        <w:keepNext/>
      </w:pPr>
      <w:r>
        <w:rPr>
          <w:sz w:val="28"/>
          <w:rFonts w:ascii="Times New Roman" w:hAnsi="Times New Roman"/>
        </w:rPr>
        <w:t>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Komunikacijska oprema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2.229,03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pPr>
        <w:jc w:val="both"/>
        <w:pStyle w:val="Normal"/>
        <w:spacing w:line="240" w:lineRule="auto"/>
      </w:pPr>
      <w:r>
        <w:rPr>
          <w:sz w:val="24"/>
          <w:rFonts w:ascii="Times New Roman" w:hAnsi="Times New Roman"/>
        </w:rPr>
        <w:t>U prethodnoj godini Općina je nabavljala komunikacijsku opremu odnosno službene mobitele, a takvog troška u ovom izvještajnom razdoblju nije bilo.</w:t>
      </w:r>
    </w:p>
    <w:p/>
    <w:p>
      <w:pPr>
        <w:jc w:val="center"/>
        <w:pStyle w:val="Normal"/>
        <w:spacing w:line="240" w:lineRule="auto"/>
        <w:keepNext/>
      </w:pPr>
      <w:r>
        <w:rPr>
          <w:sz w:val="28"/>
          <w:rFonts w:ascii="Times New Roman" w:hAnsi="Times New Roman"/>
        </w:rPr>
        <w:t>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Umjetnička, literarna i znanstvena djela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Style w:val="Normal"/>
        <w:spacing w:line="240" w:lineRule="auto"/>
      </w:pPr>
      <w:r>
        <w:rPr>
          <w:sz w:val="24"/>
          <w:rFonts w:ascii="Times New Roman" w:hAnsi="Times New Roman"/>
        </w:rPr>
        <w:t>U ovom izvještajnom razdoblju trošak od 5.000,00 eura odnosi se na izradu Urbanističkog plana uređenja groblja dok takvog rashoda u istom izvještajnom razdoblju prethodne godine nije bilo.</w:t>
      </w:r>
    </w:p>
    <w:p/>
    <w:p>
      <w:pPr>
        <w:jc w:val="center"/>
        <w:pStyle w:val="Normal"/>
        <w:spacing w:line="240" w:lineRule="auto"/>
        <w:keepNext/>
      </w:pPr>
      <w:r>
        <w:rPr>
          <w:sz w:val="28"/>
          <w:rFonts w:ascii="Times New Roman" w:hAnsi="Times New Roman"/>
        </w:rPr>
        <w:t>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Primljeni krediti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Style w:val="Normal"/>
        <w:spacing w:line="240" w:lineRule="auto"/>
      </w:pPr>
      <w:r>
        <w:rPr>
          <w:sz w:val="24"/>
          <w:rFonts w:ascii="Times New Roman" w:hAnsi="Times New Roman"/>
        </w:rPr>
        <w:t>U prvom polugodištu ove godine Općini Kamanje odobreno je prekoračenje po žiro računu od strane Privredne banke Zagreb d.d. u iznosu od 100.000,00 eura.</w:t>
      </w:r>
    </w:p>
    <w:p/>
    <w:p>
      <w:pPr>
        <w:jc w:val="center"/>
        <w:pStyle w:val="Normal"/>
        <w:spacing w:line="240" w:lineRule="auto"/>
        <w:keepNext/>
      </w:pPr>
      <w:r>
        <w:rPr>
          <w:sz w:val="28"/>
          <w:rFonts w:ascii="Times New Roman" w:hAnsi="Times New Roman"/>
        </w:rPr>
        <w:t>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kredita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18.883,02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66.225,00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350,7</w:t>
            </w:r>
          </w:p>
        </w:tc>
      </w:tr>
    </w:tbl>
    <w:p>
      <w:pPr>
        <w:spacing w:before="0" w:after="0"/>
      </w:pPr>
    </w:p>
    <w:p>
      <w:pPr>
        <w:jc w:val="both"/>
        <w:pStyle w:val="Normal"/>
        <w:spacing w:line="240" w:lineRule="auto"/>
      </w:pPr>
      <w:r>
        <w:rPr>
          <w:sz w:val="24"/>
          <w:rFonts w:ascii="Times New Roman" w:hAnsi="Times New Roman"/>
        </w:rPr>
        <w:t>Općini Kamanje je prethodne godine odobreno kratkoročno zaduženje stoga su u ovoj godini rashodi za otplatu glavnice znatno viši nego prethodne godine.</w:t>
      </w:r>
    </w:p>
    <w:p/>
    <w:p>
      <w:pPr>
        <w:jc w:val="center"/>
        <w:pStyle w:val="Normal"/>
        <w:spacing w:line="240" w:lineRule="auto"/>
        <w:keepNext/>
      </w:pPr>
      <w:r>
        <w:rPr>
          <w:b/>
          <w:sz w:val="28"/>
          <w:rFonts w:ascii="Times New Roman" w:hAnsi="Times New Roman"/>
        </w:rPr>
        <w:t>Izvještaj o obvezama</w:t>
      </w:r>
    </w:p>
    <w:p>
      <w:pPr>
        <w:jc w:val="center"/>
        <w:pStyle w:val="Normal"/>
        <w:spacing w:line="240" w:lineRule="auto"/>
        <w:keepNext/>
      </w:pPr>
      <w:r>
        <w:rPr>
          <w:sz w:val="28"/>
          <w:rFonts w:ascii="Times New Roman" w:hAnsi="Times New Roman"/>
        </w:rPr>
        <w:t>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112.666,89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Style w:val="Normal"/>
        <w:spacing w:line="240" w:lineRule="auto"/>
      </w:pPr>
      <w:r>
        <w:rPr>
          <w:sz w:val="24"/>
          <w:rFonts w:ascii="Times New Roman" w:hAnsi="Times New Roman"/>
        </w:rPr>
        <w:t>Stanje dospjelih obveza najvećim dijelom odnos se na povrat sredstava Agenciji za plaćanja u poljoprivredi, ribarstvu i ruralnom razvoju i to sukladno Odluci o povratu sredstava za projekat  „Rekonstrukcija nerazvrstane prometnice Vinska cesta – odvojci od I-V na području Općine Kamanje“ u dospjelom iznosu od 53.905,64 eura. Obveze za dospjele rashode poslovanja iznose 42.350,53 eura.</w:t>
      </w:r>
    </w:p>
    <w:p/>
  </w:body>
</w:document>
</file>

<file path=word/styles.xml><?xml version="1.0" encoding="utf-8"?>
<w:styles xmlns:w="http://schemas.openxmlformats.org/wordprocessingml/2006/main">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e74f95e225ce41e4" /></Relationships>
</file>